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10D" w:rsidRPr="00B1310D" w:rsidRDefault="00B1310D" w:rsidP="00B1310D">
      <w:pPr>
        <w:jc w:val="both"/>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r w:rsidRPr="00B1310D">
        <w:rPr>
          <w:rFonts w:ascii="Times New Roman" w:hAnsi="Times New Roman" w:cs="Times New Roman"/>
          <w:b/>
          <w:bCs/>
          <w:sz w:val="24"/>
          <w:szCs w:val="24"/>
        </w:rPr>
        <w:t>KÄENDUSDOKUMENT – ÜLDTAGATIS</w:t>
      </w:r>
    </w:p>
    <w:p w:rsidR="00B1310D" w:rsidRDefault="00B1310D" w:rsidP="00B1310D">
      <w:pPr>
        <w:jc w:val="both"/>
        <w:rPr>
          <w:rFonts w:ascii="Times New Roman" w:hAnsi="Times New Roman" w:cs="Times New Roman"/>
          <w:b/>
          <w:bCs/>
          <w:sz w:val="24"/>
          <w:szCs w:val="24"/>
        </w:rPr>
      </w:pPr>
      <w:r w:rsidRPr="00B1310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1310D">
        <w:rPr>
          <w:rFonts w:ascii="Times New Roman" w:hAnsi="Times New Roman" w:cs="Times New Roman"/>
          <w:sz w:val="24"/>
          <w:szCs w:val="24"/>
        </w:rPr>
        <w:t xml:space="preserve">I. </w:t>
      </w:r>
      <w:r w:rsidRPr="00B1310D">
        <w:rPr>
          <w:rFonts w:ascii="Times New Roman" w:hAnsi="Times New Roman" w:cs="Times New Roman"/>
          <w:b/>
          <w:bCs/>
          <w:sz w:val="24"/>
          <w:szCs w:val="24"/>
        </w:rPr>
        <w:t xml:space="preserve">Käendaja kohustus </w:t>
      </w:r>
    </w:p>
    <w:p w:rsidR="00B1310D" w:rsidRDefault="00B1310D" w:rsidP="0058456B">
      <w:pPr>
        <w:jc w:val="both"/>
        <w:rPr>
          <w:rFonts w:ascii="Times New Roman" w:hAnsi="Times New Roman" w:cs="Times New Roman"/>
          <w:sz w:val="24"/>
          <w:szCs w:val="24"/>
        </w:rPr>
      </w:pPr>
      <w:r w:rsidRPr="00B1310D">
        <w:rPr>
          <w:rFonts w:ascii="Times New Roman" w:hAnsi="Times New Roman" w:cs="Times New Roman"/>
          <w:sz w:val="24"/>
          <w:szCs w:val="24"/>
        </w:rPr>
        <w:t>1.</w:t>
      </w:r>
      <w:r>
        <w:rPr>
          <w:rFonts w:ascii="Times New Roman" w:hAnsi="Times New Roman" w:cs="Times New Roman"/>
          <w:sz w:val="24"/>
          <w:szCs w:val="24"/>
        </w:rPr>
        <w:t xml:space="preserve"> </w:t>
      </w:r>
      <w:r w:rsidRPr="00B1310D">
        <w:rPr>
          <w:rFonts w:ascii="Times New Roman" w:hAnsi="Times New Roman" w:cs="Times New Roman"/>
          <w:sz w:val="24"/>
          <w:szCs w:val="24"/>
        </w:rPr>
        <w:t>Allakirjutanu (</w:t>
      </w:r>
      <w:r w:rsidR="00CF65F1">
        <w:rPr>
          <w:rStyle w:val="EndnoteReference"/>
          <w:rFonts w:ascii="Times New Roman" w:hAnsi="Times New Roman" w:cs="Times New Roman"/>
          <w:sz w:val="24"/>
          <w:szCs w:val="24"/>
        </w:rPr>
        <w:endnoteReference w:id="1"/>
      </w:r>
      <w:r w:rsidRPr="00B1310D">
        <w:rPr>
          <w:rFonts w:ascii="Times New Roman" w:hAnsi="Times New Roman" w:cs="Times New Roman"/>
          <w:sz w:val="24"/>
          <w:szCs w:val="24"/>
        </w:rPr>
        <w:t>) ....................................................................................................................................................... kelle elukoht või registrijärgne asukoht on (</w:t>
      </w:r>
      <w:r w:rsidR="00CF65F1">
        <w:rPr>
          <w:rStyle w:val="EndnoteReference"/>
          <w:rFonts w:ascii="Times New Roman" w:hAnsi="Times New Roman" w:cs="Times New Roman"/>
          <w:sz w:val="24"/>
          <w:szCs w:val="24"/>
        </w:rPr>
        <w:endnoteReference w:id="2"/>
      </w:r>
      <w:r w:rsidRPr="00B1310D">
        <w:rPr>
          <w:rFonts w:ascii="Times New Roman" w:hAnsi="Times New Roman" w:cs="Times New Roman"/>
          <w:sz w:val="24"/>
          <w:szCs w:val="24"/>
        </w:rPr>
        <w:t>) ....................................................................................................................................................... tagab käesolevaga solidaarselt</w:t>
      </w:r>
      <w:r>
        <w:rPr>
          <w:rFonts w:ascii="Times New Roman" w:hAnsi="Times New Roman" w:cs="Times New Roman"/>
          <w:sz w:val="24"/>
          <w:szCs w:val="24"/>
        </w:rPr>
        <w:t xml:space="preserve"> </w:t>
      </w:r>
      <w:r>
        <w:rPr>
          <w:rFonts w:ascii="Times New Roman" w:eastAsia="Calibri" w:hAnsi="Times New Roman" w:cs="Times New Roman"/>
          <w:sz w:val="24"/>
          <w:lang w:eastAsia="et-EE" w:bidi="et-EE"/>
        </w:rPr>
        <w:t>Maksu- ja Tolliameti</w:t>
      </w:r>
      <w:r w:rsidRPr="00B1310D">
        <w:rPr>
          <w:rFonts w:ascii="Times New Roman" w:hAnsi="Times New Roman" w:cs="Times New Roman"/>
          <w:sz w:val="24"/>
          <w:szCs w:val="24"/>
        </w:rPr>
        <w:t xml:space="preserve"> kui tagatistolliasutuse ees kuni .........................................................................................</w:t>
      </w:r>
      <w:r>
        <w:rPr>
          <w:rFonts w:ascii="Times New Roman" w:hAnsi="Times New Roman" w:cs="Times New Roman"/>
          <w:sz w:val="24"/>
          <w:szCs w:val="24"/>
        </w:rPr>
        <w:t>......................</w:t>
      </w:r>
      <w:r w:rsidRPr="00B1310D">
        <w:rPr>
          <w:rFonts w:ascii="Times New Roman" w:hAnsi="Times New Roman" w:cs="Times New Roman"/>
          <w:sz w:val="24"/>
          <w:szCs w:val="24"/>
        </w:rPr>
        <w:t xml:space="preserve">suuruse summa ulatuses Euroopa Liidu (kuhu kuuluvad Belgia Kuningriik, Bulgaaria Vabariik, Tšehhi Vabariik, Taani Kuningriik, Saksamaa Liitvabariik, Eesti Vabariik, Kreeka Vabariik, Horvaatia Vabariik, Hispaania Kuningriik, Prantsuse Vabariik, Iirimaa, Itaalia Vabariik, Küprose Vabariik, Läti Vabariik, Leedu Vabariik, Luksemburgi Suurhertsogiriik, Ungari, Malta Vabariik, Madalmaade Kuningriik, Austria Vabariik, Poola Vabariik, Portugali Vabariik, Rumeenia, Sloveenia Vabariik, Slovaki Vabariik, Soome Vabariik, Rootsi Kuningriik), Islandi Vabariigi, </w:t>
      </w:r>
      <w:r w:rsidR="00163A03" w:rsidRPr="00163A03">
        <w:rPr>
          <w:rFonts w:ascii="Times New Roman" w:hAnsi="Times New Roman" w:cs="Times New Roman"/>
          <w:sz w:val="24"/>
          <w:szCs w:val="24"/>
        </w:rPr>
        <w:t>Põhja -Makedoonia Vabariik</w:t>
      </w:r>
      <w:r w:rsidRPr="00B1310D">
        <w:rPr>
          <w:rFonts w:ascii="Times New Roman" w:hAnsi="Times New Roman" w:cs="Times New Roman"/>
          <w:sz w:val="24"/>
          <w:szCs w:val="24"/>
        </w:rPr>
        <w:t xml:space="preserve">, Norra Kuningriigi, Serbia Vabariigi, Šveitsi Konföderatsiooni, Türgi Vabariigi, </w:t>
      </w:r>
      <w:r w:rsidR="00D20EC2">
        <w:rPr>
          <w:rFonts w:ascii="Times New Roman" w:hAnsi="Times New Roman" w:cs="Times New Roman"/>
          <w:sz w:val="24"/>
          <w:szCs w:val="24"/>
        </w:rPr>
        <w:t xml:space="preserve">Ukraina, </w:t>
      </w:r>
      <w:r w:rsidRPr="00B1310D">
        <w:rPr>
          <w:rFonts w:ascii="Times New Roman" w:hAnsi="Times New Roman" w:cs="Times New Roman"/>
          <w:sz w:val="24"/>
          <w:szCs w:val="24"/>
        </w:rPr>
        <w:t>Suurbritannia ja Põhja-Iiri Ühendkuningriigi, (</w:t>
      </w:r>
      <w:r w:rsidR="00CF65F1">
        <w:rPr>
          <w:rStyle w:val="EndnoteReference"/>
          <w:rFonts w:ascii="Times New Roman" w:hAnsi="Times New Roman" w:cs="Times New Roman"/>
          <w:sz w:val="24"/>
          <w:szCs w:val="24"/>
        </w:rPr>
        <w:endnoteReference w:id="3"/>
      </w:r>
      <w:r w:rsidRPr="00B1310D">
        <w:rPr>
          <w:rFonts w:ascii="Times New Roman" w:hAnsi="Times New Roman" w:cs="Times New Roman"/>
          <w:sz w:val="24"/>
          <w:szCs w:val="24"/>
        </w:rPr>
        <w:t>) Andorra Vürstiriigi ja San Marino Vabariigi (</w:t>
      </w:r>
      <w:r w:rsidR="00CF65F1">
        <w:rPr>
          <w:rStyle w:val="EndnoteReference"/>
          <w:rFonts w:ascii="Times New Roman" w:hAnsi="Times New Roman" w:cs="Times New Roman"/>
          <w:sz w:val="24"/>
          <w:szCs w:val="24"/>
        </w:rPr>
        <w:endnoteReference w:id="4"/>
      </w:r>
      <w:r w:rsidRPr="00B1310D">
        <w:rPr>
          <w:rFonts w:ascii="Times New Roman" w:hAnsi="Times New Roman" w:cs="Times New Roman"/>
          <w:sz w:val="24"/>
          <w:szCs w:val="24"/>
        </w:rPr>
        <w:t>) kasuks mis tahes summa, mille eest kõnealuse tagatise andnud isik (</w:t>
      </w:r>
      <w:r w:rsidR="00CF65F1">
        <w:rPr>
          <w:rStyle w:val="EndnoteReference"/>
          <w:rFonts w:ascii="Times New Roman" w:hAnsi="Times New Roman" w:cs="Times New Roman"/>
          <w:sz w:val="24"/>
          <w:szCs w:val="24"/>
        </w:rPr>
        <w:endnoteReference w:id="5"/>
      </w:r>
      <w:r w:rsidRPr="00B1310D">
        <w:rPr>
          <w:rFonts w:ascii="Times New Roman" w:hAnsi="Times New Roman" w:cs="Times New Roman"/>
          <w:sz w:val="24"/>
          <w:szCs w:val="24"/>
        </w:rPr>
        <w:t>) ............................ võib olla eelnimetatud riikide ees vastutav või saada vastutavaks seoses tolli- ja muudest maksudest tulenevate tekkinud või tekkida võivate võlgadega, (</w:t>
      </w:r>
      <w:r w:rsidR="00CF65F1">
        <w:rPr>
          <w:rStyle w:val="EndnoteReference"/>
          <w:rFonts w:ascii="Times New Roman" w:hAnsi="Times New Roman" w:cs="Times New Roman"/>
          <w:sz w:val="24"/>
          <w:szCs w:val="24"/>
        </w:rPr>
        <w:endnoteReference w:id="6"/>
      </w:r>
      <w:r w:rsidRPr="00B1310D">
        <w:rPr>
          <w:rFonts w:ascii="Times New Roman" w:hAnsi="Times New Roman" w:cs="Times New Roman"/>
          <w:sz w:val="24"/>
          <w:szCs w:val="24"/>
        </w:rPr>
        <w:t xml:space="preserve">) mida kohaldatakse punktis 1a osutatud tollitoimingutega hõlmatud kauba suhtes. </w:t>
      </w:r>
    </w:p>
    <w:p w:rsidR="000E369A" w:rsidRDefault="00B1310D" w:rsidP="00F91666">
      <w:pPr>
        <w:rPr>
          <w:rFonts w:ascii="Times New Roman" w:hAnsi="Times New Roman" w:cs="Times New Roman"/>
          <w:sz w:val="24"/>
          <w:szCs w:val="24"/>
        </w:rPr>
      </w:pPr>
      <w:r w:rsidRPr="00B1310D">
        <w:rPr>
          <w:rFonts w:ascii="Times New Roman" w:hAnsi="Times New Roman" w:cs="Times New Roman"/>
          <w:sz w:val="24"/>
          <w:szCs w:val="24"/>
        </w:rPr>
        <w:t>Tagatise maksimumsumma on: ..................................................................................................................................................... a) 100/50/30 % (</w:t>
      </w:r>
      <w:r w:rsidR="00CF65F1">
        <w:rPr>
          <w:rStyle w:val="EndnoteReference"/>
          <w:rFonts w:ascii="Times New Roman" w:hAnsi="Times New Roman" w:cs="Times New Roman"/>
          <w:sz w:val="24"/>
          <w:szCs w:val="24"/>
        </w:rPr>
        <w:endnoteReference w:id="7"/>
      </w:r>
      <w:r w:rsidRPr="00B1310D">
        <w:rPr>
          <w:rFonts w:ascii="Times New Roman" w:hAnsi="Times New Roman" w:cs="Times New Roman"/>
          <w:sz w:val="24"/>
          <w:szCs w:val="24"/>
        </w:rPr>
        <w:t>) tollivõla limiidist, mis vastab tekkida võivale tollivõlale ja muudele maksudele ning mis on võrdne punktis 1a loetletud summade kogusummaga, ning ..................................................................................................................................</w:t>
      </w:r>
      <w:r>
        <w:rPr>
          <w:rFonts w:ascii="Times New Roman" w:hAnsi="Times New Roman" w:cs="Times New Roman"/>
          <w:sz w:val="24"/>
          <w:szCs w:val="24"/>
        </w:rPr>
        <w:t>.....................</w:t>
      </w:r>
      <w:r w:rsidRPr="00B1310D">
        <w:rPr>
          <w:rFonts w:ascii="Times New Roman" w:hAnsi="Times New Roman" w:cs="Times New Roman"/>
          <w:sz w:val="24"/>
          <w:szCs w:val="24"/>
        </w:rPr>
        <w:t xml:space="preserve"> </w:t>
      </w:r>
    </w:p>
    <w:p w:rsidR="00B1310D" w:rsidRDefault="00B1310D" w:rsidP="0058456B">
      <w:pPr>
        <w:jc w:val="both"/>
        <w:rPr>
          <w:rFonts w:ascii="Times New Roman" w:hAnsi="Times New Roman" w:cs="Times New Roman"/>
          <w:sz w:val="24"/>
          <w:szCs w:val="24"/>
        </w:rPr>
      </w:pPr>
      <w:r w:rsidRPr="00B1310D">
        <w:rPr>
          <w:rFonts w:ascii="Times New Roman" w:hAnsi="Times New Roman" w:cs="Times New Roman"/>
          <w:sz w:val="24"/>
          <w:szCs w:val="24"/>
        </w:rPr>
        <w:t xml:space="preserve">1a. Tollivõla limiit, mis vastab tekkida võivale tollivõlale ja vajaduse korral muudele maksudele, on </w:t>
      </w:r>
      <w:r w:rsidR="00F91666" w:rsidRPr="00F91666">
        <w:rPr>
          <w:rFonts w:ascii="Times New Roman" w:hAnsi="Times New Roman" w:cs="Times New Roman"/>
          <w:sz w:val="24"/>
          <w:szCs w:val="24"/>
        </w:rPr>
        <w:t xml:space="preserve">liidu transiidiprotseduur / </w:t>
      </w:r>
      <w:proofErr w:type="spellStart"/>
      <w:r w:rsidR="00F91666" w:rsidRPr="00F91666">
        <w:rPr>
          <w:rFonts w:ascii="Times New Roman" w:hAnsi="Times New Roman" w:cs="Times New Roman"/>
          <w:sz w:val="24"/>
          <w:szCs w:val="24"/>
        </w:rPr>
        <w:t>ühistransiidiprotseduur</w:t>
      </w:r>
      <w:r w:rsidR="00F91666">
        <w:rPr>
          <w:rFonts w:ascii="Times New Roman" w:hAnsi="Times New Roman" w:cs="Times New Roman"/>
          <w:sz w:val="24"/>
          <w:szCs w:val="24"/>
        </w:rPr>
        <w:t>i</w:t>
      </w:r>
      <w:proofErr w:type="spellEnd"/>
      <w:r w:rsidRPr="00B1310D">
        <w:rPr>
          <w:rFonts w:ascii="Times New Roman" w:hAnsi="Times New Roman" w:cs="Times New Roman"/>
          <w:sz w:val="24"/>
          <w:szCs w:val="24"/>
        </w:rPr>
        <w:t xml:space="preserve"> puhul järgmine (</w:t>
      </w:r>
      <w:r w:rsidR="00CF65F1">
        <w:rPr>
          <w:rStyle w:val="EndnoteReference"/>
          <w:rFonts w:ascii="Times New Roman" w:hAnsi="Times New Roman" w:cs="Times New Roman"/>
          <w:sz w:val="24"/>
          <w:szCs w:val="24"/>
        </w:rPr>
        <w:endnoteReference w:id="8"/>
      </w:r>
      <w:r w:rsidRPr="00B1310D">
        <w:rPr>
          <w:rFonts w:ascii="Times New Roman" w:hAnsi="Times New Roman" w:cs="Times New Roman"/>
          <w:sz w:val="24"/>
          <w:szCs w:val="24"/>
        </w:rPr>
        <w:t xml:space="preserve">): </w:t>
      </w:r>
    </w:p>
    <w:p w:rsidR="00084E72" w:rsidRDefault="00F91666" w:rsidP="00B1310D">
      <w:pPr>
        <w:rPr>
          <w:rFonts w:ascii="Times New Roman" w:hAnsi="Times New Roman" w:cs="Times New Roman"/>
          <w:sz w:val="24"/>
          <w:szCs w:val="24"/>
        </w:rPr>
      </w:pPr>
      <w:r>
        <w:rPr>
          <w:rFonts w:ascii="Times New Roman" w:hAnsi="Times New Roman" w:cs="Times New Roman"/>
          <w:sz w:val="24"/>
          <w:szCs w:val="24"/>
        </w:rPr>
        <w:t>…………………………………………………………………………………………………..</w:t>
      </w:r>
    </w:p>
    <w:p w:rsidR="00084E72" w:rsidRDefault="00B1310D" w:rsidP="0058456B">
      <w:pPr>
        <w:jc w:val="both"/>
        <w:rPr>
          <w:rFonts w:ascii="Times New Roman" w:hAnsi="Times New Roman" w:cs="Times New Roman"/>
          <w:sz w:val="24"/>
          <w:szCs w:val="24"/>
        </w:rPr>
      </w:pPr>
      <w:r w:rsidRPr="00B1310D">
        <w:rPr>
          <w:rFonts w:ascii="Times New Roman" w:hAnsi="Times New Roman" w:cs="Times New Roman"/>
          <w:sz w:val="24"/>
          <w:szCs w:val="24"/>
        </w:rPr>
        <w:t xml:space="preserve">2. Allakirjutanu kohustub punktis 1 loetletud riikide pädevate asutuste esimese kirjaliku nõude korral tasuma nõutavad summad kuni eespool nimetatud maksimumsumma ulatuses, ilma et makse tegemist saaks nõude esitamise kuupäevast alates rohkem kui 30 päeva võrra edasi lükata, välja arvatud juhul, kui tema või mõni teine asjaomane isik tõendab enne kõnealuse tähtaja möödumist tolliasutusele nõuetekohaselt, et muu eriprotseduur kui lõppkasutusprotseduur on lõpetatud, lõppkasutus- või ajutise ladustamise protseduurile suunatud kaupade tollijärelevalve on nõuetekohaselt lõpetatud või muude protseduuride kui eriprotseduuride puhul on kaubaga seotud olukord lahendatud. </w:t>
      </w:r>
    </w:p>
    <w:p w:rsidR="00084E72" w:rsidRDefault="00B1310D" w:rsidP="0058456B">
      <w:pPr>
        <w:jc w:val="both"/>
        <w:rPr>
          <w:rFonts w:ascii="Times New Roman" w:hAnsi="Times New Roman" w:cs="Times New Roman"/>
          <w:sz w:val="24"/>
          <w:szCs w:val="24"/>
        </w:rPr>
      </w:pPr>
      <w:r w:rsidRPr="00B1310D">
        <w:rPr>
          <w:rFonts w:ascii="Times New Roman" w:hAnsi="Times New Roman" w:cs="Times New Roman"/>
          <w:sz w:val="24"/>
          <w:szCs w:val="24"/>
        </w:rPr>
        <w:t xml:space="preserve">Pädev asutus võib allakirjutanu taotluse korral ja igal põhjendatud juhul pikendada alates maksenõude esitamise kuupäevast lubatavat 30-päevast tähtaega, mille jooksul kõnealune isik peab nõutud summad tasuma. Tähtaja pikendamisega seotud kulud ja eelkõige intressid arvutatakse nii, et need võrduksid asjaomase riigi raha- või finantsturul samadel tingimustel tasutava määraga. </w:t>
      </w:r>
    </w:p>
    <w:p w:rsidR="00084E72" w:rsidRDefault="00B1310D" w:rsidP="0058456B">
      <w:pPr>
        <w:jc w:val="both"/>
        <w:rPr>
          <w:rFonts w:ascii="Times New Roman" w:hAnsi="Times New Roman" w:cs="Times New Roman"/>
          <w:sz w:val="24"/>
          <w:szCs w:val="24"/>
        </w:rPr>
      </w:pPr>
      <w:r w:rsidRPr="00B1310D">
        <w:rPr>
          <w:rFonts w:ascii="Times New Roman" w:hAnsi="Times New Roman" w:cs="Times New Roman"/>
          <w:sz w:val="24"/>
          <w:szCs w:val="24"/>
        </w:rPr>
        <w:lastRenderedPageBreak/>
        <w:t xml:space="preserve">Seda summat ei tohi vähendada käesoleva kohustuse alusel juba makstud summade võrra, välja arvatud juhul, kui allakirjutanult nõutakse sellise võla tasumist, mis tuleneb tollitoimingust, mida alustati enne eelneva maksenõude kättesaamist või 30 päeva jooksul alates selle kättesaamisest. </w:t>
      </w:r>
    </w:p>
    <w:p w:rsidR="00084E72" w:rsidRDefault="00B1310D" w:rsidP="0058456B">
      <w:pPr>
        <w:jc w:val="both"/>
        <w:rPr>
          <w:rFonts w:ascii="Times New Roman" w:hAnsi="Times New Roman" w:cs="Times New Roman"/>
          <w:sz w:val="24"/>
          <w:szCs w:val="24"/>
        </w:rPr>
      </w:pPr>
      <w:r w:rsidRPr="00B1310D">
        <w:rPr>
          <w:rFonts w:ascii="Times New Roman" w:hAnsi="Times New Roman" w:cs="Times New Roman"/>
          <w:sz w:val="24"/>
          <w:szCs w:val="24"/>
        </w:rPr>
        <w:t xml:space="preserve">3. Käesolev kohustus hakkab kehtima päeval, mil tagatistolliasutus selle aktsepteerib. Allakirjutanu vastutab kõigi võlgade tasumise eest, mis tulenevad käesoleva kohustusega hõlmatud tollitoimingutest, mida alustati enne tagatise tühistamist või kehtetuks tunnistamist, isegi juhul, kui maksenõue on esitatud pärast kõnealust kuupäeva. </w:t>
      </w:r>
    </w:p>
    <w:p w:rsidR="0038202A" w:rsidRDefault="00B1310D" w:rsidP="0058456B">
      <w:pPr>
        <w:jc w:val="both"/>
        <w:rPr>
          <w:rFonts w:ascii="Times New Roman" w:hAnsi="Times New Roman" w:cs="Times New Roman"/>
          <w:sz w:val="24"/>
          <w:szCs w:val="24"/>
        </w:rPr>
      </w:pPr>
      <w:r w:rsidRPr="00B1310D">
        <w:rPr>
          <w:rFonts w:ascii="Times New Roman" w:hAnsi="Times New Roman" w:cs="Times New Roman"/>
          <w:sz w:val="24"/>
          <w:szCs w:val="24"/>
        </w:rPr>
        <w:t>4. Allakirjutanu teatab käesoleva kohustuse raames oma ametliku asukoha (</w:t>
      </w:r>
      <w:r w:rsidR="00CF65F1">
        <w:rPr>
          <w:rStyle w:val="EndnoteReference"/>
          <w:rFonts w:ascii="Times New Roman" w:hAnsi="Times New Roman" w:cs="Times New Roman"/>
          <w:sz w:val="24"/>
          <w:szCs w:val="24"/>
        </w:rPr>
        <w:endnoteReference w:id="9"/>
      </w:r>
      <w:r w:rsidRPr="00B1310D">
        <w:rPr>
          <w:rFonts w:ascii="Times New Roman" w:hAnsi="Times New Roman" w:cs="Times New Roman"/>
          <w:sz w:val="24"/>
          <w:szCs w:val="24"/>
        </w:rPr>
        <w:t xml:space="preserve">) kõikides punktis 1 loetletud riikides: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4"/>
        <w:gridCol w:w="4538"/>
      </w:tblGrid>
      <w:tr w:rsidR="0038202A" w:rsidRPr="00B137C2" w:rsidTr="00662345">
        <w:tc>
          <w:tcPr>
            <w:tcW w:w="4606" w:type="dxa"/>
          </w:tcPr>
          <w:p w:rsidR="0038202A" w:rsidRPr="00EA4EFD" w:rsidRDefault="0038202A" w:rsidP="00662345">
            <w:pPr>
              <w:spacing w:before="120" w:after="0" w:line="240" w:lineRule="auto"/>
              <w:jc w:val="both"/>
              <w:rPr>
                <w:rFonts w:ascii="Times New Roman" w:eastAsia="Times New Roman" w:hAnsi="Times New Roman" w:cs="Times New Roman"/>
                <w:sz w:val="24"/>
                <w:szCs w:val="24"/>
                <w:lang w:eastAsia="en-GB"/>
              </w:rPr>
            </w:pPr>
            <w:r w:rsidRPr="00EA4EFD">
              <w:rPr>
                <w:rFonts w:ascii="Times New Roman" w:eastAsia="Times New Roman" w:hAnsi="Times New Roman" w:cs="Times New Roman"/>
                <w:sz w:val="24"/>
                <w:szCs w:val="24"/>
                <w:lang w:eastAsia="en-GB"/>
              </w:rPr>
              <w:t>Riik</w:t>
            </w:r>
          </w:p>
        </w:tc>
        <w:tc>
          <w:tcPr>
            <w:tcW w:w="4606" w:type="dxa"/>
          </w:tcPr>
          <w:p w:rsidR="0038202A" w:rsidRPr="00EA4EFD" w:rsidRDefault="0038202A" w:rsidP="00662345">
            <w:pPr>
              <w:spacing w:before="120" w:after="0" w:line="240" w:lineRule="auto"/>
              <w:jc w:val="both"/>
              <w:rPr>
                <w:rFonts w:ascii="Times New Roman" w:eastAsia="Times New Roman" w:hAnsi="Times New Roman" w:cs="Times New Roman"/>
                <w:sz w:val="24"/>
                <w:szCs w:val="24"/>
                <w:lang w:eastAsia="en-GB"/>
              </w:rPr>
            </w:pPr>
            <w:r w:rsidRPr="00EA4EFD">
              <w:rPr>
                <w:rFonts w:ascii="Times New Roman" w:eastAsia="Times New Roman" w:hAnsi="Times New Roman" w:cs="Times New Roman"/>
                <w:sz w:val="24"/>
                <w:szCs w:val="24"/>
                <w:lang w:eastAsia="en-GB"/>
              </w:rPr>
              <w:t>Perekonna- ja eesnimi või ärinimi ning täielik aadress</w:t>
            </w:r>
          </w:p>
        </w:tc>
      </w:tr>
      <w:tr w:rsidR="0038202A" w:rsidRPr="00B137C2" w:rsidTr="00662345">
        <w:tc>
          <w:tcPr>
            <w:tcW w:w="4606" w:type="dxa"/>
          </w:tcPr>
          <w:p w:rsidR="0038202A" w:rsidRPr="00B137C2" w:rsidRDefault="0038202A" w:rsidP="00662345">
            <w:pPr>
              <w:spacing w:before="120" w:after="0" w:line="240" w:lineRule="auto"/>
              <w:jc w:val="both"/>
              <w:rPr>
                <w:rFonts w:ascii="Times New Roman" w:eastAsia="Times New Roman" w:hAnsi="Times New Roman" w:cs="Times New Roman"/>
                <w:sz w:val="24"/>
                <w:szCs w:val="24"/>
                <w:lang w:val="en-GB" w:eastAsia="en-GB"/>
              </w:rPr>
            </w:pPr>
          </w:p>
        </w:tc>
        <w:tc>
          <w:tcPr>
            <w:tcW w:w="4606" w:type="dxa"/>
          </w:tcPr>
          <w:p w:rsidR="0038202A" w:rsidRPr="00B137C2" w:rsidRDefault="0038202A" w:rsidP="00662345">
            <w:pPr>
              <w:spacing w:before="120" w:after="0" w:line="240" w:lineRule="auto"/>
              <w:jc w:val="both"/>
              <w:rPr>
                <w:rFonts w:ascii="Times New Roman" w:eastAsia="Times New Roman" w:hAnsi="Times New Roman" w:cs="Times New Roman"/>
                <w:sz w:val="24"/>
                <w:szCs w:val="24"/>
                <w:lang w:val="en-GB" w:eastAsia="en-GB"/>
              </w:rPr>
            </w:pPr>
          </w:p>
        </w:tc>
      </w:tr>
      <w:tr w:rsidR="0038202A" w:rsidRPr="00B137C2" w:rsidTr="00662345">
        <w:tc>
          <w:tcPr>
            <w:tcW w:w="4606" w:type="dxa"/>
          </w:tcPr>
          <w:p w:rsidR="0038202A" w:rsidRPr="00B137C2" w:rsidRDefault="0038202A" w:rsidP="00662345">
            <w:pPr>
              <w:spacing w:before="120" w:after="0" w:line="240" w:lineRule="auto"/>
              <w:jc w:val="both"/>
              <w:rPr>
                <w:rFonts w:ascii="Times New Roman" w:eastAsia="Times New Roman" w:hAnsi="Times New Roman" w:cs="Times New Roman"/>
                <w:sz w:val="24"/>
                <w:szCs w:val="24"/>
                <w:lang w:val="en-GB" w:eastAsia="en-GB"/>
              </w:rPr>
            </w:pPr>
          </w:p>
        </w:tc>
        <w:tc>
          <w:tcPr>
            <w:tcW w:w="4606" w:type="dxa"/>
          </w:tcPr>
          <w:p w:rsidR="0038202A" w:rsidRPr="00B137C2" w:rsidRDefault="0038202A" w:rsidP="00662345">
            <w:pPr>
              <w:spacing w:before="120" w:after="0" w:line="240" w:lineRule="auto"/>
              <w:jc w:val="both"/>
              <w:rPr>
                <w:rFonts w:ascii="Times New Roman" w:eastAsia="Times New Roman" w:hAnsi="Times New Roman" w:cs="Times New Roman"/>
                <w:sz w:val="24"/>
                <w:szCs w:val="24"/>
                <w:lang w:val="en-GB" w:eastAsia="en-GB"/>
              </w:rPr>
            </w:pPr>
          </w:p>
        </w:tc>
      </w:tr>
      <w:tr w:rsidR="0038202A" w:rsidRPr="00B137C2" w:rsidTr="00662345">
        <w:tc>
          <w:tcPr>
            <w:tcW w:w="4606" w:type="dxa"/>
          </w:tcPr>
          <w:p w:rsidR="0038202A" w:rsidRPr="00B137C2" w:rsidRDefault="0038202A" w:rsidP="00662345">
            <w:pPr>
              <w:spacing w:before="120" w:after="0" w:line="240" w:lineRule="auto"/>
              <w:jc w:val="both"/>
              <w:rPr>
                <w:rFonts w:ascii="Times New Roman" w:eastAsia="Times New Roman" w:hAnsi="Times New Roman" w:cs="Times New Roman"/>
                <w:sz w:val="24"/>
                <w:szCs w:val="24"/>
                <w:lang w:val="en-GB" w:eastAsia="en-GB"/>
              </w:rPr>
            </w:pPr>
          </w:p>
        </w:tc>
        <w:tc>
          <w:tcPr>
            <w:tcW w:w="4606" w:type="dxa"/>
          </w:tcPr>
          <w:p w:rsidR="0038202A" w:rsidRPr="00B137C2" w:rsidRDefault="0038202A" w:rsidP="00662345">
            <w:pPr>
              <w:spacing w:before="120" w:after="0" w:line="240" w:lineRule="auto"/>
              <w:jc w:val="both"/>
              <w:rPr>
                <w:rFonts w:ascii="Times New Roman" w:eastAsia="Times New Roman" w:hAnsi="Times New Roman" w:cs="Times New Roman"/>
                <w:sz w:val="24"/>
                <w:szCs w:val="24"/>
                <w:lang w:val="en-GB" w:eastAsia="en-GB"/>
              </w:rPr>
            </w:pPr>
          </w:p>
        </w:tc>
      </w:tr>
      <w:tr w:rsidR="0038202A" w:rsidRPr="00B137C2" w:rsidTr="00662345">
        <w:tc>
          <w:tcPr>
            <w:tcW w:w="4606" w:type="dxa"/>
          </w:tcPr>
          <w:p w:rsidR="0038202A" w:rsidRPr="00B137C2" w:rsidRDefault="0038202A" w:rsidP="00662345">
            <w:pPr>
              <w:spacing w:before="120" w:after="0" w:line="240" w:lineRule="auto"/>
              <w:jc w:val="both"/>
              <w:rPr>
                <w:rFonts w:ascii="Times New Roman" w:eastAsia="Times New Roman" w:hAnsi="Times New Roman" w:cs="Times New Roman"/>
                <w:sz w:val="24"/>
                <w:szCs w:val="24"/>
                <w:lang w:val="en-GB" w:eastAsia="en-GB"/>
              </w:rPr>
            </w:pPr>
          </w:p>
        </w:tc>
        <w:tc>
          <w:tcPr>
            <w:tcW w:w="4606" w:type="dxa"/>
          </w:tcPr>
          <w:p w:rsidR="0038202A" w:rsidRPr="00B137C2" w:rsidRDefault="0038202A" w:rsidP="00662345">
            <w:pPr>
              <w:spacing w:before="120" w:after="0" w:line="240" w:lineRule="auto"/>
              <w:jc w:val="both"/>
              <w:rPr>
                <w:rFonts w:ascii="Times New Roman" w:eastAsia="Times New Roman" w:hAnsi="Times New Roman" w:cs="Times New Roman"/>
                <w:sz w:val="24"/>
                <w:szCs w:val="24"/>
                <w:lang w:val="en-GB" w:eastAsia="en-GB"/>
              </w:rPr>
            </w:pPr>
          </w:p>
        </w:tc>
      </w:tr>
      <w:tr w:rsidR="0038202A" w:rsidRPr="00B137C2" w:rsidTr="00662345">
        <w:tc>
          <w:tcPr>
            <w:tcW w:w="4606" w:type="dxa"/>
          </w:tcPr>
          <w:p w:rsidR="0038202A" w:rsidRPr="00B137C2" w:rsidRDefault="0038202A" w:rsidP="00662345">
            <w:pPr>
              <w:spacing w:before="120" w:after="0" w:line="240" w:lineRule="auto"/>
              <w:jc w:val="both"/>
              <w:rPr>
                <w:rFonts w:ascii="Times New Roman" w:eastAsia="Times New Roman" w:hAnsi="Times New Roman" w:cs="Times New Roman"/>
                <w:sz w:val="24"/>
                <w:szCs w:val="24"/>
                <w:lang w:val="en-GB" w:eastAsia="en-GB"/>
              </w:rPr>
            </w:pPr>
          </w:p>
        </w:tc>
        <w:tc>
          <w:tcPr>
            <w:tcW w:w="4606" w:type="dxa"/>
          </w:tcPr>
          <w:p w:rsidR="0038202A" w:rsidRPr="00B137C2" w:rsidRDefault="0038202A" w:rsidP="00662345">
            <w:pPr>
              <w:spacing w:before="120" w:after="0" w:line="240" w:lineRule="auto"/>
              <w:jc w:val="both"/>
              <w:rPr>
                <w:rFonts w:ascii="Times New Roman" w:eastAsia="Times New Roman" w:hAnsi="Times New Roman" w:cs="Times New Roman"/>
                <w:sz w:val="24"/>
                <w:szCs w:val="24"/>
                <w:lang w:val="en-GB" w:eastAsia="en-GB"/>
              </w:rPr>
            </w:pPr>
          </w:p>
        </w:tc>
      </w:tr>
      <w:tr w:rsidR="0038202A" w:rsidRPr="00B137C2" w:rsidTr="00662345">
        <w:tc>
          <w:tcPr>
            <w:tcW w:w="4606" w:type="dxa"/>
          </w:tcPr>
          <w:p w:rsidR="0038202A" w:rsidRPr="00B137C2" w:rsidRDefault="0038202A" w:rsidP="00662345">
            <w:pPr>
              <w:spacing w:before="120" w:after="0" w:line="240" w:lineRule="auto"/>
              <w:jc w:val="both"/>
              <w:rPr>
                <w:rFonts w:ascii="Times New Roman" w:eastAsia="Times New Roman" w:hAnsi="Times New Roman" w:cs="Times New Roman"/>
                <w:sz w:val="24"/>
                <w:szCs w:val="24"/>
                <w:lang w:val="en-GB" w:eastAsia="en-GB"/>
              </w:rPr>
            </w:pPr>
          </w:p>
        </w:tc>
        <w:tc>
          <w:tcPr>
            <w:tcW w:w="4606" w:type="dxa"/>
          </w:tcPr>
          <w:p w:rsidR="0038202A" w:rsidRPr="00B137C2" w:rsidRDefault="0038202A" w:rsidP="00662345">
            <w:pPr>
              <w:spacing w:before="120" w:after="0" w:line="240" w:lineRule="auto"/>
              <w:jc w:val="both"/>
              <w:rPr>
                <w:rFonts w:ascii="Times New Roman" w:eastAsia="Times New Roman" w:hAnsi="Times New Roman" w:cs="Times New Roman"/>
                <w:sz w:val="24"/>
                <w:szCs w:val="24"/>
                <w:lang w:val="en-GB" w:eastAsia="en-GB"/>
              </w:rPr>
            </w:pPr>
          </w:p>
        </w:tc>
      </w:tr>
      <w:tr w:rsidR="0038202A" w:rsidRPr="00B137C2" w:rsidTr="00662345">
        <w:tc>
          <w:tcPr>
            <w:tcW w:w="4606" w:type="dxa"/>
          </w:tcPr>
          <w:p w:rsidR="0038202A" w:rsidRPr="00B137C2" w:rsidRDefault="0038202A" w:rsidP="00662345">
            <w:pPr>
              <w:spacing w:before="120" w:after="0" w:line="240" w:lineRule="auto"/>
              <w:jc w:val="both"/>
              <w:rPr>
                <w:rFonts w:ascii="Times New Roman" w:eastAsia="Times New Roman" w:hAnsi="Times New Roman" w:cs="Times New Roman"/>
                <w:sz w:val="24"/>
                <w:szCs w:val="24"/>
                <w:lang w:val="en-GB" w:eastAsia="en-GB"/>
              </w:rPr>
            </w:pPr>
          </w:p>
        </w:tc>
        <w:tc>
          <w:tcPr>
            <w:tcW w:w="4606" w:type="dxa"/>
          </w:tcPr>
          <w:p w:rsidR="0038202A" w:rsidRPr="00B137C2" w:rsidRDefault="0038202A" w:rsidP="00662345">
            <w:pPr>
              <w:spacing w:before="120" w:after="0" w:line="240" w:lineRule="auto"/>
              <w:jc w:val="both"/>
              <w:rPr>
                <w:rFonts w:ascii="Times New Roman" w:eastAsia="Times New Roman" w:hAnsi="Times New Roman" w:cs="Times New Roman"/>
                <w:sz w:val="24"/>
                <w:szCs w:val="24"/>
                <w:lang w:val="en-GB" w:eastAsia="en-GB"/>
              </w:rPr>
            </w:pPr>
          </w:p>
        </w:tc>
      </w:tr>
    </w:tbl>
    <w:p w:rsidR="0038202A" w:rsidRDefault="0038202A" w:rsidP="00B1310D">
      <w:pPr>
        <w:rPr>
          <w:rFonts w:ascii="Times New Roman" w:hAnsi="Times New Roman" w:cs="Times New Roman"/>
          <w:sz w:val="24"/>
          <w:szCs w:val="24"/>
        </w:rPr>
      </w:pPr>
    </w:p>
    <w:p w:rsidR="001B4F30" w:rsidRDefault="00B1310D" w:rsidP="0058456B">
      <w:pPr>
        <w:jc w:val="both"/>
        <w:rPr>
          <w:rFonts w:ascii="Times New Roman" w:hAnsi="Times New Roman" w:cs="Times New Roman"/>
          <w:sz w:val="24"/>
          <w:szCs w:val="24"/>
        </w:rPr>
      </w:pPr>
      <w:r w:rsidRPr="00B1310D">
        <w:rPr>
          <w:rFonts w:ascii="Times New Roman" w:hAnsi="Times New Roman" w:cs="Times New Roman"/>
          <w:sz w:val="24"/>
          <w:szCs w:val="24"/>
        </w:rPr>
        <w:t>Allakirjutanu kinnitab, et kogu kirjavahetus, kõik teadaanded ja kõik tema võetud kohustusega seotud formaalsused ja protseduurid, mis on adresseeritud või kirjalikult esitatud ühte tema ametlikest asukohtadest, loetakse talle nõuetekohaselt kätte</w:t>
      </w:r>
      <w:r w:rsidR="001B4F30">
        <w:rPr>
          <w:rFonts w:ascii="Times New Roman" w:hAnsi="Times New Roman" w:cs="Times New Roman"/>
          <w:sz w:val="24"/>
          <w:szCs w:val="24"/>
        </w:rPr>
        <w:t xml:space="preserve"> </w:t>
      </w:r>
      <w:r w:rsidRPr="00B1310D">
        <w:rPr>
          <w:rFonts w:ascii="Times New Roman" w:hAnsi="Times New Roman" w:cs="Times New Roman"/>
          <w:sz w:val="24"/>
          <w:szCs w:val="24"/>
        </w:rPr>
        <w:t xml:space="preserve">toimetatuks. </w:t>
      </w:r>
    </w:p>
    <w:p w:rsidR="00EA4EFD" w:rsidRDefault="00B1310D" w:rsidP="0058456B">
      <w:pPr>
        <w:jc w:val="both"/>
        <w:rPr>
          <w:rFonts w:ascii="Times New Roman" w:hAnsi="Times New Roman" w:cs="Times New Roman"/>
          <w:sz w:val="24"/>
          <w:szCs w:val="24"/>
        </w:rPr>
      </w:pPr>
      <w:r w:rsidRPr="00B1310D">
        <w:rPr>
          <w:rFonts w:ascii="Times New Roman" w:hAnsi="Times New Roman" w:cs="Times New Roman"/>
          <w:sz w:val="24"/>
          <w:szCs w:val="24"/>
        </w:rPr>
        <w:t xml:space="preserve">Allakirjutanu tunnistab nende kohtute pädevust, kelle tööpiirkonnas on tema ametlikud asukohad. Allakirjutanu kohustub mitte muutma oma ametlikke asukohti; kui ta peab seda siiski tegema, siis teatab ta sellest enne tagatistolliasutusele. </w:t>
      </w:r>
    </w:p>
    <w:p w:rsidR="001B4F30" w:rsidRDefault="00EA4EFD" w:rsidP="00B1310D">
      <w:pPr>
        <w:rPr>
          <w:rFonts w:ascii="Times New Roman" w:hAnsi="Times New Roman" w:cs="Times New Roman"/>
          <w:sz w:val="24"/>
          <w:szCs w:val="24"/>
        </w:rPr>
      </w:pPr>
      <w:r>
        <w:rPr>
          <w:rFonts w:ascii="Times New Roman" w:hAnsi="Times New Roman" w:cs="Times New Roman"/>
          <w:sz w:val="24"/>
          <w:szCs w:val="24"/>
        </w:rPr>
        <w:t>(Koht)</w:t>
      </w:r>
      <w:r w:rsidR="00B1310D" w:rsidRPr="00B1310D">
        <w:rPr>
          <w:rFonts w:ascii="Times New Roman" w:hAnsi="Times New Roman" w:cs="Times New Roman"/>
          <w:sz w:val="24"/>
          <w:szCs w:val="24"/>
        </w:rPr>
        <w:t>..........................................................................................................................</w:t>
      </w:r>
      <w:r>
        <w:rPr>
          <w:rFonts w:ascii="Times New Roman" w:hAnsi="Times New Roman" w:cs="Times New Roman"/>
          <w:sz w:val="24"/>
          <w:szCs w:val="24"/>
        </w:rPr>
        <w:t>..................(Kuupäev)</w:t>
      </w:r>
      <w:r w:rsidR="00B1310D" w:rsidRPr="00B1310D">
        <w:rPr>
          <w:rFonts w:ascii="Times New Roman" w:hAnsi="Times New Roman" w:cs="Times New Roman"/>
          <w:sz w:val="24"/>
          <w:szCs w:val="24"/>
        </w:rPr>
        <w:t>...................................................................................................................................... (Allkiri) (</w:t>
      </w:r>
      <w:r w:rsidR="000E369A">
        <w:rPr>
          <w:rStyle w:val="EndnoteReference"/>
          <w:rFonts w:ascii="Times New Roman" w:hAnsi="Times New Roman" w:cs="Times New Roman"/>
          <w:sz w:val="24"/>
          <w:szCs w:val="24"/>
        </w:rPr>
        <w:endnoteReference w:id="10"/>
      </w:r>
      <w:r w:rsidR="00B1310D" w:rsidRPr="00B1310D">
        <w:rPr>
          <w:rFonts w:ascii="Times New Roman" w:hAnsi="Times New Roman" w:cs="Times New Roman"/>
          <w:sz w:val="24"/>
          <w:szCs w:val="24"/>
        </w:rPr>
        <w:t>)</w:t>
      </w:r>
      <w:r w:rsidRPr="00EA4EFD">
        <w:rPr>
          <w:rFonts w:ascii="Times New Roman" w:hAnsi="Times New Roman" w:cs="Times New Roman"/>
          <w:sz w:val="24"/>
          <w:szCs w:val="24"/>
        </w:rPr>
        <w:t>..................................................................................................................................</w:t>
      </w:r>
      <w:r>
        <w:rPr>
          <w:rFonts w:ascii="Times New Roman" w:hAnsi="Times New Roman" w:cs="Times New Roman"/>
          <w:sz w:val="24"/>
          <w:szCs w:val="24"/>
        </w:rPr>
        <w:t xml:space="preserve"> </w:t>
      </w:r>
    </w:p>
    <w:p w:rsidR="001B4F30" w:rsidRDefault="001B4F30" w:rsidP="00B1310D">
      <w:pPr>
        <w:rPr>
          <w:rFonts w:ascii="Times New Roman" w:hAnsi="Times New Roman" w:cs="Times New Roman"/>
          <w:sz w:val="24"/>
          <w:szCs w:val="24"/>
        </w:rPr>
      </w:pPr>
    </w:p>
    <w:p w:rsidR="001B4F30" w:rsidRDefault="00B1310D" w:rsidP="00B1310D">
      <w:pPr>
        <w:rPr>
          <w:rFonts w:ascii="Times New Roman" w:hAnsi="Times New Roman" w:cs="Times New Roman"/>
          <w:b/>
          <w:bCs/>
          <w:sz w:val="24"/>
          <w:szCs w:val="24"/>
        </w:rPr>
      </w:pPr>
      <w:r w:rsidRPr="00B1310D">
        <w:rPr>
          <w:rFonts w:ascii="Times New Roman" w:hAnsi="Times New Roman" w:cs="Times New Roman"/>
          <w:sz w:val="24"/>
          <w:szCs w:val="24"/>
        </w:rPr>
        <w:t xml:space="preserve">II. </w:t>
      </w:r>
      <w:r w:rsidRPr="00B1310D">
        <w:rPr>
          <w:rFonts w:ascii="Times New Roman" w:hAnsi="Times New Roman" w:cs="Times New Roman"/>
          <w:b/>
          <w:bCs/>
          <w:sz w:val="24"/>
          <w:szCs w:val="24"/>
        </w:rPr>
        <w:t xml:space="preserve">Tagatistolliasutuse aktsept </w:t>
      </w:r>
    </w:p>
    <w:p w:rsidR="001B4F30" w:rsidRDefault="00EA4EFD" w:rsidP="00B1310D">
      <w:pPr>
        <w:rPr>
          <w:rFonts w:ascii="Times New Roman" w:hAnsi="Times New Roman" w:cs="Times New Roman"/>
          <w:sz w:val="24"/>
          <w:szCs w:val="24"/>
        </w:rPr>
      </w:pPr>
      <w:r>
        <w:rPr>
          <w:rFonts w:ascii="Times New Roman" w:hAnsi="Times New Roman" w:cs="Times New Roman"/>
          <w:sz w:val="24"/>
          <w:szCs w:val="24"/>
        </w:rPr>
        <w:t>Tagatistolliasutus:</w:t>
      </w:r>
      <w:r w:rsidR="00B1310D" w:rsidRPr="00B1310D">
        <w:rPr>
          <w:rFonts w:ascii="Times New Roman" w:hAnsi="Times New Roman" w:cs="Times New Roman"/>
          <w:sz w:val="24"/>
          <w:szCs w:val="24"/>
        </w:rPr>
        <w:t>.....................................................................................................</w:t>
      </w:r>
      <w:r>
        <w:rPr>
          <w:rFonts w:ascii="Times New Roman" w:hAnsi="Times New Roman" w:cs="Times New Roman"/>
          <w:sz w:val="24"/>
          <w:szCs w:val="24"/>
        </w:rPr>
        <w:t>....................</w:t>
      </w:r>
      <w:r w:rsidR="00B1310D" w:rsidRPr="00B1310D">
        <w:rPr>
          <w:rFonts w:ascii="Times New Roman" w:hAnsi="Times New Roman" w:cs="Times New Roman"/>
          <w:sz w:val="24"/>
          <w:szCs w:val="24"/>
        </w:rPr>
        <w:t xml:space="preserve"> Käendaja võetud k</w:t>
      </w:r>
      <w:r>
        <w:rPr>
          <w:rFonts w:ascii="Times New Roman" w:hAnsi="Times New Roman" w:cs="Times New Roman"/>
          <w:sz w:val="24"/>
          <w:szCs w:val="24"/>
        </w:rPr>
        <w:t xml:space="preserve">ohustus aktsepteeriti (kuupäev) </w:t>
      </w:r>
      <w:r w:rsidR="00B1310D" w:rsidRPr="00B1310D">
        <w:rPr>
          <w:rFonts w:ascii="Times New Roman" w:hAnsi="Times New Roman" w:cs="Times New Roman"/>
          <w:sz w:val="24"/>
          <w:szCs w:val="24"/>
        </w:rPr>
        <w:t xml:space="preserve">............................................................................................................................................................................................................................................................................................................................. (Tempel ja allkiri) </w:t>
      </w:r>
    </w:p>
    <w:sectPr w:rsidR="001B4F30">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5F1" w:rsidRDefault="00CF65F1" w:rsidP="00CF65F1">
      <w:pPr>
        <w:spacing w:after="0" w:line="240" w:lineRule="auto"/>
      </w:pPr>
      <w:r>
        <w:separator/>
      </w:r>
    </w:p>
  </w:endnote>
  <w:endnote w:type="continuationSeparator" w:id="0">
    <w:p w:rsidR="00CF65F1" w:rsidRDefault="00CF65F1" w:rsidP="00CF65F1">
      <w:pPr>
        <w:spacing w:after="0" w:line="240" w:lineRule="auto"/>
      </w:pPr>
      <w:r>
        <w:continuationSeparator/>
      </w:r>
    </w:p>
  </w:endnote>
  <w:endnote w:id="1">
    <w:p w:rsidR="00CF65F1" w:rsidRDefault="00CF65F1">
      <w:pPr>
        <w:pStyle w:val="EndnoteText"/>
      </w:pPr>
      <w:r>
        <w:rPr>
          <w:rStyle w:val="EndnoteReference"/>
        </w:rPr>
        <w:endnoteRef/>
      </w:r>
      <w:r>
        <w:t xml:space="preserve"> </w:t>
      </w:r>
      <w:r w:rsidRPr="00CF65F1">
        <w:t>Perekonna- ja eesnimi või ärinimi.</w:t>
      </w:r>
    </w:p>
  </w:endnote>
  <w:endnote w:id="2">
    <w:p w:rsidR="00CF65F1" w:rsidRDefault="00CF65F1">
      <w:pPr>
        <w:pStyle w:val="EndnoteText"/>
      </w:pPr>
      <w:r>
        <w:rPr>
          <w:rStyle w:val="EndnoteReference"/>
        </w:rPr>
        <w:endnoteRef/>
      </w:r>
      <w:r>
        <w:t xml:space="preserve"> </w:t>
      </w:r>
      <w:r w:rsidRPr="00CF65F1">
        <w:t>Täielik aadress.</w:t>
      </w:r>
    </w:p>
  </w:endnote>
  <w:endnote w:id="3">
    <w:p w:rsidR="00CF65F1" w:rsidRDefault="00CF65F1">
      <w:pPr>
        <w:pStyle w:val="EndnoteText"/>
      </w:pPr>
      <w:r>
        <w:rPr>
          <w:rStyle w:val="EndnoteReference"/>
        </w:rPr>
        <w:endnoteRef/>
      </w:r>
      <w:r>
        <w:t xml:space="preserve"> </w:t>
      </w:r>
      <w:r w:rsidRPr="00CF65F1">
        <w:t>Läbi kriipsutada selle riigi nimi/nende riikide nimed, kelle territooriumil tagatist ei saa kasutada.</w:t>
      </w:r>
    </w:p>
  </w:endnote>
  <w:endnote w:id="4">
    <w:p w:rsidR="00CF65F1" w:rsidRDefault="00CF65F1">
      <w:pPr>
        <w:pStyle w:val="EndnoteText"/>
      </w:pPr>
      <w:r>
        <w:rPr>
          <w:rStyle w:val="EndnoteReference"/>
        </w:rPr>
        <w:endnoteRef/>
      </w:r>
      <w:r>
        <w:t xml:space="preserve"> </w:t>
      </w:r>
      <w:r w:rsidRPr="00CF65F1">
        <w:t>Viited Andorra Vürstiriigile ja San Marino Vabariigile kehtivad ainult liidu transiitvedude puhul.</w:t>
      </w:r>
    </w:p>
  </w:endnote>
  <w:endnote w:id="5">
    <w:p w:rsidR="00CF65F1" w:rsidRDefault="00CF65F1">
      <w:pPr>
        <w:pStyle w:val="EndnoteText"/>
      </w:pPr>
      <w:r>
        <w:rPr>
          <w:rStyle w:val="EndnoteReference"/>
        </w:rPr>
        <w:endnoteRef/>
      </w:r>
      <w:r>
        <w:t xml:space="preserve"> </w:t>
      </w:r>
      <w:r w:rsidRPr="00CF65F1">
        <w:t>Tagatise andnud isiku perekonna- ja eesnimi või ärinimi ja täielik aadress.</w:t>
      </w:r>
    </w:p>
  </w:endnote>
  <w:endnote w:id="6">
    <w:p w:rsidR="00CF65F1" w:rsidRDefault="00CF65F1">
      <w:pPr>
        <w:pStyle w:val="EndnoteText"/>
      </w:pPr>
      <w:r>
        <w:rPr>
          <w:rStyle w:val="EndnoteReference"/>
        </w:rPr>
        <w:endnoteRef/>
      </w:r>
      <w:r>
        <w:t xml:space="preserve"> </w:t>
      </w:r>
      <w:r w:rsidRPr="00CF65F1">
        <w:t xml:space="preserve">Kohaldatakse kauba impordi või ekspordiga seotud muude </w:t>
      </w:r>
      <w:proofErr w:type="spellStart"/>
      <w:r w:rsidRPr="00CF65F1">
        <w:t>sissenõutavate</w:t>
      </w:r>
      <w:proofErr w:type="spellEnd"/>
      <w:r w:rsidRPr="00CF65F1">
        <w:t xml:space="preserve"> maksude suhtes, kui tagatist kasutatakse kaupade suunamiseks liidu transiidiprotseduurile / </w:t>
      </w:r>
      <w:proofErr w:type="spellStart"/>
      <w:r w:rsidRPr="00CF65F1">
        <w:t>ühistransiidiprotseduurile</w:t>
      </w:r>
      <w:proofErr w:type="spellEnd"/>
      <w:r w:rsidRPr="00CF65F1">
        <w:t xml:space="preserve"> või kui tagatist saab kasutada rohkem kui ühes liikmesriigis või konventsiooni osalisriigis.</w:t>
      </w:r>
    </w:p>
  </w:endnote>
  <w:endnote w:id="7">
    <w:p w:rsidR="00CF65F1" w:rsidRDefault="00CF65F1">
      <w:pPr>
        <w:pStyle w:val="EndnoteText"/>
      </w:pPr>
      <w:r>
        <w:rPr>
          <w:rStyle w:val="EndnoteReference"/>
        </w:rPr>
        <w:endnoteRef/>
      </w:r>
      <w:r>
        <w:t xml:space="preserve"> </w:t>
      </w:r>
      <w:r w:rsidRPr="00CF65F1">
        <w:t>Mittevajalik läbi kriipsutada.</w:t>
      </w:r>
    </w:p>
  </w:endnote>
  <w:endnote w:id="8">
    <w:p w:rsidR="00CF65F1" w:rsidRDefault="00CF65F1">
      <w:pPr>
        <w:pStyle w:val="EndnoteText"/>
      </w:pPr>
      <w:r>
        <w:rPr>
          <w:rStyle w:val="EndnoteReference"/>
        </w:rPr>
        <w:endnoteRef/>
      </w:r>
      <w:r>
        <w:t xml:space="preserve"> </w:t>
      </w:r>
      <w:r w:rsidRPr="00CF65F1">
        <w:t xml:space="preserve">Kõiki protseduure peale </w:t>
      </w:r>
      <w:proofErr w:type="spellStart"/>
      <w:r w:rsidRPr="00CF65F1">
        <w:t>ühistransiidiprotseduuri</w:t>
      </w:r>
      <w:proofErr w:type="spellEnd"/>
      <w:r w:rsidRPr="00CF65F1">
        <w:t xml:space="preserve"> kohaldatakse üksnes liidus.</w:t>
      </w:r>
    </w:p>
  </w:endnote>
  <w:endnote w:id="9">
    <w:p w:rsidR="00CF65F1" w:rsidRDefault="00CF65F1">
      <w:pPr>
        <w:pStyle w:val="EndnoteText"/>
      </w:pPr>
      <w:r>
        <w:rPr>
          <w:rStyle w:val="EndnoteReference"/>
        </w:rPr>
        <w:endnoteRef/>
      </w:r>
      <w:r>
        <w:t xml:space="preserve"> </w:t>
      </w:r>
      <w:r w:rsidRPr="00CF65F1">
        <w:t>Kui mõne riigi õiguses ei ole ametliku asukoha valimise võimalust ette nähtud, määrab käendaja endale asjaomases riigis esindaja, kellel on õigus vastu võtta käendajale adresseeritud kirjavahetust, ning punkti 4 teises lõigus sätestatud kinnitus ja neljandas lõigus sätestatud kohustus tuleb sellega vastavusse viia. Tagatisega seotud vaidluste lahendamine kuulub nende riikide kohtute pädevusse, kelle tööpiirkonnas on käendaja või tema esindajate ametlik asukoht.</w:t>
      </w:r>
    </w:p>
  </w:endnote>
  <w:endnote w:id="10">
    <w:p w:rsidR="000E369A" w:rsidRDefault="000E369A">
      <w:pPr>
        <w:pStyle w:val="EndnoteText"/>
      </w:pPr>
      <w:r>
        <w:rPr>
          <w:rStyle w:val="EndnoteReference"/>
        </w:rPr>
        <w:endnoteRef/>
      </w:r>
      <w:r>
        <w:t xml:space="preserve"> </w:t>
      </w:r>
      <w:r w:rsidRPr="000E369A">
        <w:t>Allakirjutaja peab kirjutama oma allkirja ette käsitsi järgmised sõnad: „Tagatis hõlmab … (summa)“; summa kirjutatakse sõnadega</w:t>
      </w:r>
      <w:r w:rsidR="00EA4EFD">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05" w:rsidRDefault="00EC2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05" w:rsidRDefault="00EC2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05" w:rsidRDefault="00EC2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5F1" w:rsidRDefault="00CF65F1" w:rsidP="00CF65F1">
      <w:pPr>
        <w:spacing w:after="0" w:line="240" w:lineRule="auto"/>
      </w:pPr>
      <w:r>
        <w:separator/>
      </w:r>
    </w:p>
  </w:footnote>
  <w:footnote w:type="continuationSeparator" w:id="0">
    <w:p w:rsidR="00CF65F1" w:rsidRDefault="00CF65F1" w:rsidP="00CF6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05" w:rsidRDefault="00EC24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05" w:rsidRDefault="00EC2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05" w:rsidRDefault="00EC2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0D"/>
    <w:rsid w:val="00084E72"/>
    <w:rsid w:val="00093FF9"/>
    <w:rsid w:val="000E369A"/>
    <w:rsid w:val="00163A03"/>
    <w:rsid w:val="001B4F30"/>
    <w:rsid w:val="0021359A"/>
    <w:rsid w:val="0038202A"/>
    <w:rsid w:val="004F3DF6"/>
    <w:rsid w:val="0058456B"/>
    <w:rsid w:val="00B1310D"/>
    <w:rsid w:val="00CF65F1"/>
    <w:rsid w:val="00D20EC2"/>
    <w:rsid w:val="00E256B2"/>
    <w:rsid w:val="00EA4EFD"/>
    <w:rsid w:val="00EC2405"/>
    <w:rsid w:val="00F916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65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5F1"/>
    <w:rPr>
      <w:sz w:val="20"/>
      <w:szCs w:val="20"/>
    </w:rPr>
  </w:style>
  <w:style w:type="character" w:styleId="FootnoteReference">
    <w:name w:val="footnote reference"/>
    <w:basedOn w:val="DefaultParagraphFont"/>
    <w:uiPriority w:val="99"/>
    <w:semiHidden/>
    <w:unhideWhenUsed/>
    <w:rsid w:val="00CF65F1"/>
    <w:rPr>
      <w:vertAlign w:val="superscript"/>
    </w:rPr>
  </w:style>
  <w:style w:type="paragraph" w:styleId="EndnoteText">
    <w:name w:val="endnote text"/>
    <w:basedOn w:val="Normal"/>
    <w:link w:val="EndnoteTextChar"/>
    <w:uiPriority w:val="99"/>
    <w:semiHidden/>
    <w:unhideWhenUsed/>
    <w:rsid w:val="00CF65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65F1"/>
    <w:rPr>
      <w:sz w:val="20"/>
      <w:szCs w:val="20"/>
    </w:rPr>
  </w:style>
  <w:style w:type="character" w:styleId="EndnoteReference">
    <w:name w:val="endnote reference"/>
    <w:basedOn w:val="DefaultParagraphFont"/>
    <w:uiPriority w:val="99"/>
    <w:semiHidden/>
    <w:unhideWhenUsed/>
    <w:rsid w:val="00CF65F1"/>
    <w:rPr>
      <w:vertAlign w:val="superscript"/>
    </w:rPr>
  </w:style>
  <w:style w:type="paragraph" w:styleId="Header">
    <w:name w:val="header"/>
    <w:basedOn w:val="Normal"/>
    <w:link w:val="HeaderChar"/>
    <w:uiPriority w:val="99"/>
    <w:unhideWhenUsed/>
    <w:rsid w:val="00EC24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2405"/>
  </w:style>
  <w:style w:type="paragraph" w:styleId="Footer">
    <w:name w:val="footer"/>
    <w:basedOn w:val="Normal"/>
    <w:link w:val="FooterChar"/>
    <w:uiPriority w:val="99"/>
    <w:unhideWhenUsed/>
    <w:rsid w:val="00EC24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F2A31-9710-4C95-A73A-5BEEEDA5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5041</Characters>
  <Application>Microsoft Office Word</Application>
  <DocSecurity>0</DocSecurity>
  <Lines>42</Lines>
  <Paragraphs>11</Paragraphs>
  <ScaleCrop>false</ScaleCrop>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2022-09-09T05:56:00Z</dcterms:created>
  <dcterms:modified xsi:type="dcterms:W3CDTF">2022-09-09T05:57:00Z</dcterms:modified>
</cp:coreProperties>
</file>